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7">
                <wp:simplePos x="0" y="0"/>
                <wp:positionH relativeFrom="page">
                  <wp:posOffset>914400</wp:posOffset>
                </wp:positionH>
                <wp:positionV relativeFrom="page">
                  <wp:posOffset>3121025</wp:posOffset>
                </wp:positionV>
                <wp:extent cx="5943600" cy="194310"/>
                <wp:effectExtent l="0" t="0" r="0" b="0"/>
                <wp:wrapNone/>
                <wp:docPr id="1" name="Frame1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45.7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page">
                  <wp:posOffset>3038475</wp:posOffset>
                </wp:positionV>
                <wp:extent cx="5943600" cy="194310"/>
                <wp:effectExtent l="0" t="0" r="0" b="0"/>
                <wp:wrapNone/>
                <wp:docPr id="2" name="Frame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39.2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REPORT OF FOREIGN PRIVATE ISSUER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PURSUANT TO RULE 13a-16 OR 15d-16 OF</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SECURITIES EXCHANGE ACT OF 1934</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For the month of </w:t>
      </w:r>
      <w:r>
        <w:rPr>
          <w:rFonts w:ascii="Times New Roman;serif" w:hAnsi="Times New Roman;serif"/>
          <w:b w:val="false"/>
          <w:i w:val="false"/>
          <w:caps w:val="false"/>
          <w:smallCaps w:val="false"/>
          <w:strike w:val="false"/>
          <w:dstrike w:val="false"/>
          <w:sz w:val="20"/>
          <w:u w:val="none"/>
          <w:effect w:val="none"/>
          <w:shd w:fill="E4E4E4" w:val="clear"/>
        </w:rPr>
        <w:t>September, 2026</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Commission File Number: </w:t>
      </w:r>
      <w:r>
        <w:rPr>
          <w:rFonts w:ascii="Times New Roman;serif" w:hAnsi="Times New Roman;serif"/>
          <w:b/>
          <w:i w:val="false"/>
          <w:caps w:val="false"/>
          <w:smallCaps w:val="false"/>
          <w:sz w:val="20"/>
          <w:shd w:fill="E4E4E4" w:val="clear"/>
        </w:rPr>
        <w:t>001-42128</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Telix Pharmaceuticals Limited</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(Translation of registrant’s name into English)</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55 Flemington Road</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North Melbourne, Victoria 3051, Australia</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(Address of principal executive offices)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Indicate by check mark whether the registrant files or will file annual reports under cover of Form 20-F or Form 40-</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Form 40-F </w:t>
      </w:r>
      <w:r>
        <w:rPr>
          <w:rFonts w:ascii="Arial;sans-serif" w:hAnsi="Arial;sans-serif"/>
          <w:caps w:val="false"/>
          <w:smallCaps w:val="false"/>
          <w:shd w:fill="E4E4E4" w:val="clear"/>
        </w:rPr>
        <w: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INFORMATION CONTAINED IN THIS FORM 6-K REPORT</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On </w:t>
      </w:r>
      <w:r>
        <w:rPr>
          <w:rFonts w:ascii="Times New Roman;serif" w:hAnsi="Times New Roman;serif"/>
          <w:b w:val="false"/>
          <w:i w:val="false"/>
          <w:caps w:val="false"/>
          <w:smallCaps w:val="false"/>
          <w:strike w:val="false"/>
          <w:dstrike w:val="false"/>
          <w:sz w:val="20"/>
          <w:u w:val="none"/>
          <w:effect w:val="none"/>
          <w:shd w:fill="E4E4E4" w:val="clear"/>
        </w:rPr>
        <w:t>September 30, 2026</w:t>
      </w:r>
      <w:r>
        <w:rPr>
          <w:rFonts w:ascii="Arial;sans-serif" w:hAnsi="Arial;sans-serif"/>
          <w:caps w:val="false"/>
          <w:smallCaps w:val="false"/>
          <w:sz w:val="24"/>
          <w:shd w:fill="E4E4E4" w:val="clear"/>
        </w:rPr>
        <w:t xml:space="preserve"> </w:t>
      </w:r>
      <w:r>
        <w:rPr>
          <w:rFonts w:ascii="Times New Roman;serif" w:hAnsi="Times New Roman;serif"/>
          <w:b w:val="false"/>
          <w:i w:val="false"/>
          <w:caps w:val="false"/>
          <w:smallCaps w:val="false"/>
          <w:sz w:val="20"/>
          <w:shd w:fill="E4E4E4" w:val="clear"/>
        </w:rPr>
        <w:t xml:space="preserve">(Melbourne, Australia), Telix Pharmaceuticals Limited ("Telix") filed the following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announcements with the Australian Securities Exchange titled “FDA Fast Track for BiPass Pre Biopsy Prostate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Imaging," a copy of which is attached to this Form 6-K as Exhibit 99.1.</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information contained in this Form 6-K, except for (i) the commentary in Exhibit 99.1 appearing in the sixth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paragraph of the announcement and (ii) information accessible by hyperlinks included therein, is incorporated by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reference into our Registration Statement on Form F-3ASR (File No. 333-293611) and Registration Statement 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Form S-8 (File No. 333-283917).</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5953125" cy="664210"/>
                <wp:effectExtent l="0" t="0" r="0" b="0"/>
                <wp:wrapNone/>
                <wp:docPr id="4" name="Frame2"/>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3875" cy="146685"/>
                <wp:effectExtent l="0" t="0" r="0" b="0"/>
                <wp:wrapNone/>
                <wp:docPr id="5" name="Frame3"/>
                <a:graphic xmlns:a="http://schemas.openxmlformats.org/drawingml/2006/main">
                  <a:graphicData uri="http://schemas.microsoft.com/office/word/2010/wordprocessingShape">
                    <wps:wsp>
                      <wps:cNvSpPr txBox="1"/>
                      <wps:spPr>
                        <a:xfrm>
                          <a:off x="0" y="0"/>
                          <a:ext cx="523875" cy="146685"/>
                        </a:xfrm>
                        <a:prstGeom prst="rect"/>
                        <a:solidFill>
                          <a:srgbClr val="FFFFFF"/>
                        </a:solidFill>
                      </wps:spPr>
                      <wps:txbx>
                        <w:txbxContent>
                          <w:p>
                            <w:pPr>
                              <w:pStyle w:val="TextBody"/>
                              <w:bidi w:val="0"/>
                              <w:spacing w:lineRule="atLeast" w:line="142" w:before="0" w:after="0"/>
                              <w:jc w:val="left"/>
                              <w:rPr/>
                            </w:pPr>
                            <w:hyperlink w:anchor="a20260930bipassftvfinala.htm">
                              <w:r>
                                <w:rPr>
                                  <w:rStyle w:val="InternetLink"/>
                                  <w:rFonts w:ascii="Times New Roman;serif" w:hAnsi="Times New Roman;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hyperlink w:anchor="a20260930bipassftvfinala.htm">
                        <w:r>
                          <w:rPr>
                            <w:rStyle w:val="InternetLink"/>
                            <w:rFonts w:ascii="Times New Roman;serif" w:hAnsi="Times New Roman;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523875</wp:posOffset>
                </wp:positionH>
                <wp:positionV relativeFrom="line">
                  <wp:posOffset>635</wp:posOffset>
                </wp:positionV>
                <wp:extent cx="5429250" cy="146685"/>
                <wp:effectExtent l="0" t="0" r="0" b="0"/>
                <wp:wrapNone/>
                <wp:docPr id="6" name="Frame4"/>
                <a:graphic xmlns:a="http://schemas.openxmlformats.org/drawingml/2006/main">
                  <a:graphicData uri="http://schemas.microsoft.com/office/word/2010/wordprocessingShape">
                    <wps:wsp>
                      <wps:cNvSpPr txBox="1"/>
                      <wps:spPr>
                        <a:xfrm>
                          <a:off x="0" y="0"/>
                          <a:ext cx="5429250" cy="146685"/>
                        </a:xfrm>
                        <a:prstGeom prst="rect"/>
                        <a:solidFill>
                          <a:srgbClr val="FFFFFF"/>
                        </a:solidFill>
                      </wps:spPr>
                      <wps:txb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September 30, 2026</w:t>
                            </w:r>
                          </w:p>
                        </w:txbxContent>
                      </wps:txbx>
                      <wps:bodyPr anchor="t" lIns="0" tIns="0" rIns="0" bIns="0">
                        <a:noAutofit/>
                      </wps:bodyPr>
                    </wps:wsp>
                  </a:graphicData>
                </a:graphic>
              </wp:anchor>
            </w:drawing>
          </mc:Choice>
          <mc:Fallback>
            <w:pict>
              <v:rect style="position:absolute;rotation:-0;width:427.5pt;height:11.5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2" w:before="0" w:after="0"/>
                        <w:jc w:val="left"/>
                        <w:rPr>
                          <w:sz w:val="24"/>
                        </w:rPr>
                      </w:pPr>
                      <w:r>
                        <w:rPr>
                          <w:rFonts w:ascii="Times New Roman;serif" w:hAnsi="Times New Roman;serif"/>
                          <w:b w:val="false"/>
                          <w:i w:val="false"/>
                          <w:caps w:val="false"/>
                          <w:smallCaps w:val="false"/>
                          <w:sz w:val="20"/>
                        </w:rPr>
                        <w:t xml:space="preserve">Press release – </w:t>
                      </w:r>
                      <w:r>
                        <w:rPr>
                          <w:rFonts w:ascii="Times New Roman;serif" w:hAnsi="Times New Roman;serif"/>
                          <w:b w:val="false"/>
                          <w:i w:val="false"/>
                          <w:caps w:val="false"/>
                          <w:smallCaps w:val="false"/>
                          <w:strike w:val="false"/>
                          <w:dstrike w:val="false"/>
                          <w:sz w:val="20"/>
                          <w:u w:val="none"/>
                          <w:effect w:val="none"/>
                        </w:rPr>
                        <w:t>September 30, 2026</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Exchange Act of 1934, the registrant has duly caused this report to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signed on its behalf by the undersigned, thereunto duly authorized.</w: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31750" cy="175260"/>
                <wp:effectExtent l="0" t="0" r="0" b="0"/>
                <wp:wrapNone/>
                <wp:docPr id="7" name="Frame6"/>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946150</wp:posOffset>
                </wp:positionH>
                <wp:positionV relativeFrom="line">
                  <wp:posOffset>635</wp:posOffset>
                </wp:positionV>
                <wp:extent cx="31750" cy="175260"/>
                <wp:effectExtent l="0" t="0" r="0" b="0"/>
                <wp:wrapNone/>
                <wp:docPr id="8" name="Frame7"/>
                <a:graphic xmlns:a="http://schemas.openxmlformats.org/drawingml/2006/main">
                  <a:graphicData uri="http://schemas.microsoft.com/office/word/2010/wordprocessingShape">
                    <wps:wsp>
                      <wps:cNvSpPr txBox="1"/>
                      <wps:spPr>
                        <a:xfrm>
                          <a:off x="0" y="0"/>
                          <a:ext cx="317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pt;height:13.8pt;mso-wrap-distance-left:0pt;mso-wrap-distance-right:0pt;mso-wrap-distance-top:0pt;mso-wrap-distance-bottom:0pt;margin-top:0pt;mso-position-vertical:top;mso-position-vertical-relative:text;margin-left:74.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5943600" cy="1905635"/>
                <wp:effectExtent l="0" t="0" r="0" b="0"/>
                <wp:wrapNone/>
                <wp:docPr id="9" name="Frame8"/>
                <a:graphic xmlns:a="http://schemas.openxmlformats.org/drawingml/2006/main">
                  <a:graphicData uri="http://schemas.microsoft.com/office/word/2010/wordprocessingShape">
                    <wps:wsp>
                      <wps:cNvSpPr txBox="1"/>
                      <wps:spPr>
                        <a:xfrm>
                          <a:off x="0" y="0"/>
                          <a:ext cx="5943600" cy="1905635"/>
                        </a:xfrm>
                        <a:prstGeom prst="rect"/>
                        <a:solidFill>
                          <a:srgbClr val="FFFFFF"/>
                        </a:solidFill>
                      </wps:spPr>
                      <wps:txb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0.05pt;mso-wrap-distance-left:0pt;mso-wrap-distance-right:0pt;mso-wrap-distance-top:0pt;mso-wrap-distance-bottom:0pt;margin-top:0pt;mso-position-vertical:top;mso-position-vertical-relative:text;margin-left:72pt;mso-position-horizontal-relative:page">
                <v:textbox>
                  <w:txbxContent>
                    <w:tbl>
                      <w:tblPr>
                        <w:tblW w:w="928" w:type="dxa"/>
                        <w:jc w:val="left"/>
                        <w:tblInd w:w="0" w:type="dxa"/>
                        <w:tblLayout w:type="fixed"/>
                        <w:tblCellMar>
                          <w:top w:w="28" w:type="dxa"/>
                          <w:left w:w="28" w:type="dxa"/>
                          <w:bottom w:w="28" w:type="dxa"/>
                          <w:right w:w="28" w:type="dxa"/>
                        </w:tblCellMar>
                      </w:tblPr>
                      <w:tblGrid>
                        <w:gridCol w:w="556"/>
                        <w:gridCol w:w="109"/>
                        <w:gridCol w:w="109"/>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142"/>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a20260930bipassftvfinala.htm"/>
      <w:bookmarkStart w:id="1" w:name="ksa20260930bipassftvfinala"/>
      <w:bookmarkEnd w:id="0"/>
      <w:bookmarkEnd w:id="1"/>
      <w:r>
        <w:rPr/>
        <w:drawing>
          <wp:inline distT="0" distB="0" distL="0" distR="0">
            <wp:extent cx="9182100"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Page 1 Telix Granted FDA Fast Track Designation for BiPASS Pre-Biopsy Prostate Cancer Imaging • FDA Fast Track designation granted for Telix’s BiPASS® program, which is evaluating 68Ga-PSMA-PET imaging alongside MRI in the pre-biopsy prostate cancer setting. • The designation recognizes the program’s potential to address an important unmet need by enabling an imaging-first approach to initial prostate cancer diagnosis. • Fast Track facilitates more frequent engagement with the FDA and may enable expedited review of the planned NDA. Melbourne (Australia) and Indianapolis, IN (U.S.) – September 30, 2026. Telix Pharmaceuticals Limited (ASX: TLX, NASDAQ: TLX, “Telix”) today announces that the United States (U.S.) Food and Drug Administration (FDA) has granted Fast Track designation for the Company’s BiPASS® program. BiPASS (Biopsy of the Prostate Avoidance Stratification Study1) is evaluating gallium-68 (68Ga) PSMA-PET imaging2 in combination with MRI3 for the detection of prostate cancer prior to biopsy. Fast Track is a process designed to facilitate the development and expedite the review of drugs to treat serious conditions and fill an unmet medical need4, potentially accelerating patient access if approved. More than three million prostate biopsies are performed globally each year5, yet up to 75% produce a negative result6. Biopsy can be stressful and painful for patients and may provide no meaningful diagnostic benefit7, highlighting the importance of improved diagnostic tools earlier in the patient journey. Telix recently completed enrollment in the Phase 3 BiPASS study of its proprietary 68Ga-PSMA-PET agents, Illuccix® and Gozellix® 8 for pre-biopsy prostate cancer diagnosis. The Company has positively engaged with the FDA on a new drug application (NDA) pathway and is planning its submission. The NDA pathway supports registration as a new product which, if approved, would broaden access to 68Ga-PSMA-PET imaging for a substantially larger patient population. BiPASS builds on the clinical foundation established by the PRIMARY9 and PRIMARY210 studies. These studies demonstrated that combining 68Ga-PSMA-PET imaging with MRI can significantly improve detection of clinically significant prostate cancer while reducing unnecessary biopsies by almost 50 percent. BiPASS is not intended to replace biopsy when it benefits the patient but rather aims to improve the diagnostic pathway by helping clinicians determine which patients would benefit from biopsy and where biopsy should be targeted. Dr. David N. Cade, Group Chief Medical Officer at Telix, said, “Fast Track designation reflects the FDA’s recognition of the potential for BiPASS to address an important unmet need in the prostate 1 ClinicalTrials.gov ID: NCT07052214. 2 Imaging of prostate-specific membrane antigen with positron emission tomography. 3 Magnetic resonance imaging. 4 Visit: https://www.fda.gov/patients/fast-track-breakthrough-therapy-accelerated-approval-priority-review/fast-track. 5 Hu et al. JAMA Oncol. 2024. 6 Vickers et al. J Clin Oncol. 2010. 7 Durkan G et al. Prostate Cancer Prostatic Dis. 2000. 8 Illuccix® (kit for the preparation of gallium Ga68 gozetotide injection) and Gozellix® (kit for the preparation of gallium Ga68 gozetotide injection). 9 Emmett et al., Eur Urol. 2021. 10 Buteau et al. Lancet Oncol. 2026. ClinicalTrials.gov ID: NCT05154162.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cancer diagnostic pathway. We believe gallium-68 PSMA-PET, used alongside MRI, could help physicians make more informed decisions before biopsy, improve diagnostic confidence and potentially reduce unnecessary invasive procedures for patients. This designation supports continued close engagement with the FDA as we advance BiPASS toward an NDA submission.” Illuccix and Gozellix are approved for PET imaging of PSMA-positive lesions in patients with prostate cancer with suspected metastasis who are candidates for initial definitive therapy, and in patients with suspected recurrence based on elevated serum prostate-specific antigen (PSA) level. Illuccix is also approved for the selection of patients indicated for PSMA-directed therapy. The use of Illuccix and Gozellix in the pre-biopsy setting remains investigational and has not been approved by the FDA or any other regulatory authority. 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precision diagnostics portfolio: Illuccix® (kit for the preparation of gallium-68 gozetotide injection), commercially available in 22 countries including the U.S., and Gozellix® (kit for the preparation of gallium-68 gozetotide injection), approved by the U.S. Food and Drug Administration (FDA) for prostate imaging, and Pixclara® (floretyrosine F18) approved by the FDA for glioma imaging. The Company's late-stage therapeutic pipeline includes three investigational assets in pivotal-stage trials: TLX591-Tx (lutetium-177 (177Lu) rosopatamab tetraxetan) in prostate cancer, TLX101-Tx (iodofalan 131I) in recurrent glioblastoma, and TLX250- Tx (lutetium (177Lu) girentuximab tetraxetan) in kidney cancer, additionally complemented by a deep pipeline of next generation candidates. TLX591-Tx, TLX101-Tx and TLX250-Tx have not received marketing authorizations in any jurisdiction.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Media Eliza Schleifstein 917.763.8106 (Mobile) Eliza@schleifsteinpr.com This announcement has been authorized for release by the Telix Pharmaceuticals Limited Disclosure Committee on behalf of the Board.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information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 looking statements.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1757</Words>
  <Characters>10765</Characters>
  <CharactersWithSpaces>12532</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a20260930bipassftvfinala</dc:title>
</cp:coreProperties>
</file>