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Washington, D.C. 20549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OF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April, 2026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001-42128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Telix Pharmaceuticals Limited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(Translation of registrant’s name into English)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55 Flemington Road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North Melbourne, Victoria 3051, Australia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496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263525</wp:posOffset>
            </wp:positionV>
            <wp:extent cx="7176135" cy="11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341" w:right="1440" w:bottom="1440" w:gutter="0" w:footer="0" w:header="0"/>
        </w:sectPr>
      </w:pPr>
    </w:p>
    <w:bookmarkStart w:id="1" w:name="page2"/>
    <w:bookmarkEnd w:id="1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INFORMATION CONTAINED IN THIS FORM 6-K REPORT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 April 23, 2026 (Melbourne, Australia), Telix Pharmaceuticals Limited filed an announcement with the Australian Securities Exchange titled “Telix Announces Settlement of US$600M Convertible Bonds,” a copy of which is attached to this Form 6-K as Exhibit 99.1.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Press Release – April 23,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-78740</wp:posOffset>
            </wp:positionV>
            <wp:extent cx="7176135" cy="933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9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153670</wp:posOffset>
            </wp:positionV>
            <wp:extent cx="7176135" cy="11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20"/>
          </w:cols>
          <w:pgMar w:left="300" w:top="226" w:right="479" w:bottom="1440" w:gutter="0" w:footer="0" w:header="0"/>
        </w:sectPr>
      </w:pPr>
    </w:p>
    <w:bookmarkStart w:id="2" w:name="page3"/>
    <w:bookmarkEnd w:id="2"/>
    <w:p>
      <w:pPr>
        <w:ind w:left="5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ind w:right="-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Telix Pharmaceuticals Limited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280" w:val="left"/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April 22, 2026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/s/ Christian Krautkramer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3216910</wp:posOffset>
            </wp:positionH>
            <wp:positionV relativeFrom="paragraph">
              <wp:posOffset>19685</wp:posOffset>
            </wp:positionV>
            <wp:extent cx="3955415" cy="11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41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Name: Christian Krautkramer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Title: Group 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238760</wp:posOffset>
            </wp:positionV>
            <wp:extent cx="7176135" cy="11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613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226" w:right="1440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186055</wp:posOffset>
            </wp:positionH>
            <wp:positionV relativeFrom="page">
              <wp:posOffset>88900</wp:posOffset>
            </wp:positionV>
            <wp:extent cx="7218045" cy="102108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1021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2026-04-23T05:07:53Z</dcterms:created>
  <dcterms:modified xsi:type="dcterms:W3CDTF">2026-04-23T05:07:53Z</dcterms:modified>
</cp:coreProperties>
</file>